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0A" w:rsidRDefault="006C260A" w:rsidP="006C260A">
      <w:pPr>
        <w:pStyle w:val="Ttulo"/>
        <w:spacing w:line="360" w:lineRule="auto"/>
        <w:jc w:val="both"/>
        <w:rPr>
          <w:rFonts w:ascii="Candara" w:hAnsi="Candara"/>
          <w:u w:val="single"/>
        </w:rPr>
      </w:pPr>
    </w:p>
    <w:p w:rsidR="00FB0C40" w:rsidRDefault="00FB0C40" w:rsidP="006C260A">
      <w:pPr>
        <w:pStyle w:val="Ttulo"/>
        <w:spacing w:line="360" w:lineRule="auto"/>
        <w:jc w:val="both"/>
        <w:rPr>
          <w:rFonts w:ascii="Candara" w:hAnsi="Candara"/>
          <w:u w:val="single"/>
        </w:rPr>
      </w:pPr>
    </w:p>
    <w:p w:rsidR="00FB0C40" w:rsidRDefault="00FB0C40" w:rsidP="006C260A">
      <w:pPr>
        <w:pStyle w:val="Ttulo"/>
        <w:spacing w:line="360" w:lineRule="auto"/>
        <w:jc w:val="both"/>
        <w:rPr>
          <w:rFonts w:ascii="Candara" w:hAnsi="Candara"/>
          <w:u w:val="single"/>
        </w:rPr>
      </w:pPr>
      <w:bookmarkStart w:id="0" w:name="_GoBack"/>
      <w:bookmarkEnd w:id="0"/>
    </w:p>
    <w:p w:rsidR="00846AD1" w:rsidRDefault="00846AD1" w:rsidP="00712D4C">
      <w:pPr>
        <w:pStyle w:val="Ttulo"/>
        <w:spacing w:line="480" w:lineRule="auto"/>
        <w:rPr>
          <w:rFonts w:asciiTheme="minorHAnsi" w:hAnsiTheme="minorHAnsi"/>
          <w:sz w:val="28"/>
          <w:szCs w:val="28"/>
          <w:u w:val="single"/>
        </w:rPr>
      </w:pPr>
    </w:p>
    <w:p w:rsidR="00846AD1" w:rsidRDefault="00846AD1" w:rsidP="00712D4C">
      <w:pPr>
        <w:pStyle w:val="Ttulo"/>
        <w:spacing w:line="480" w:lineRule="auto"/>
        <w:rPr>
          <w:rFonts w:asciiTheme="minorHAnsi" w:hAnsiTheme="minorHAnsi"/>
          <w:sz w:val="28"/>
          <w:szCs w:val="28"/>
          <w:u w:val="single"/>
        </w:rPr>
      </w:pPr>
    </w:p>
    <w:p w:rsidR="00846AD1" w:rsidRDefault="00846AD1" w:rsidP="00712D4C">
      <w:pPr>
        <w:pStyle w:val="Ttulo"/>
        <w:spacing w:line="480" w:lineRule="auto"/>
        <w:rPr>
          <w:rFonts w:asciiTheme="minorHAnsi" w:hAnsiTheme="minorHAnsi"/>
          <w:sz w:val="28"/>
          <w:szCs w:val="28"/>
          <w:u w:val="single"/>
        </w:rPr>
      </w:pPr>
    </w:p>
    <w:p w:rsidR="00846AD1" w:rsidRDefault="00846AD1" w:rsidP="00712D4C">
      <w:pPr>
        <w:pStyle w:val="Ttulo"/>
        <w:spacing w:line="480" w:lineRule="auto"/>
        <w:rPr>
          <w:rFonts w:asciiTheme="minorHAnsi" w:hAnsiTheme="minorHAnsi"/>
          <w:sz w:val="28"/>
          <w:szCs w:val="28"/>
          <w:u w:val="single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sz w:val="28"/>
          <w:szCs w:val="28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sz w:val="28"/>
          <w:szCs w:val="28"/>
        </w:rPr>
      </w:pPr>
      <w:r w:rsidRPr="00846AD1">
        <w:rPr>
          <w:rFonts w:asciiTheme="minorHAnsi" w:hAnsiTheme="minorHAnsi"/>
          <w:sz w:val="28"/>
          <w:szCs w:val="28"/>
        </w:rPr>
        <w:t>José Alberto Azeredo Lopes</w:t>
      </w:r>
    </w:p>
    <w:p w:rsidR="00846AD1" w:rsidRP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  <w:sz w:val="28"/>
          <w:szCs w:val="28"/>
        </w:rPr>
      </w:pPr>
      <w:r w:rsidRPr="00846AD1">
        <w:rPr>
          <w:rFonts w:asciiTheme="minorHAnsi" w:hAnsiTheme="minorHAnsi"/>
          <w:b w:val="0"/>
          <w:sz w:val="28"/>
          <w:szCs w:val="28"/>
        </w:rPr>
        <w:t>Ministro da Defesa Nacional</w:t>
      </w:r>
    </w:p>
    <w:p w:rsidR="00846AD1" w:rsidRDefault="00846AD1" w:rsidP="00712D4C">
      <w:pPr>
        <w:pStyle w:val="Ttulo"/>
        <w:spacing w:line="480" w:lineRule="auto"/>
        <w:rPr>
          <w:rFonts w:asciiTheme="minorHAnsi" w:hAnsiTheme="minorHAnsi"/>
          <w:sz w:val="28"/>
          <w:szCs w:val="28"/>
          <w:u w:val="single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sz w:val="28"/>
          <w:szCs w:val="28"/>
          <w:u w:val="single"/>
        </w:rPr>
      </w:pPr>
    </w:p>
    <w:p w:rsidR="00B74AB9" w:rsidRPr="00846AD1" w:rsidRDefault="00846AD1" w:rsidP="00846AD1">
      <w:pPr>
        <w:pStyle w:val="Ttulo"/>
        <w:spacing w:line="480" w:lineRule="auto"/>
        <w:jc w:val="both"/>
        <w:rPr>
          <w:rFonts w:asciiTheme="minorHAnsi" w:hAnsiTheme="minorHAnsi"/>
        </w:rPr>
      </w:pPr>
      <w:r w:rsidRPr="00846AD1">
        <w:rPr>
          <w:rFonts w:asciiTheme="minorHAnsi" w:hAnsiTheme="minorHAnsi"/>
        </w:rPr>
        <w:t>Intervenção do Ministro da Defesa Nacional, Jos</w:t>
      </w:r>
      <w:r w:rsidR="00ED271D">
        <w:rPr>
          <w:rFonts w:asciiTheme="minorHAnsi" w:hAnsiTheme="minorHAnsi"/>
        </w:rPr>
        <w:t>é Alberto A</w:t>
      </w:r>
      <w:r w:rsidR="00E273FA">
        <w:rPr>
          <w:rFonts w:asciiTheme="minorHAnsi" w:hAnsiTheme="minorHAnsi"/>
        </w:rPr>
        <w:t xml:space="preserve">zeredo Lopes, na sessão de abertura do Seminário Internacional </w:t>
      </w:r>
      <w:r w:rsidR="00E273FA" w:rsidRPr="00E273FA">
        <w:rPr>
          <w:rFonts w:asciiTheme="minorHAnsi" w:hAnsiTheme="minorHAnsi"/>
          <w:i/>
        </w:rPr>
        <w:t>The European Union Global Strategy</w:t>
      </w:r>
      <w:r w:rsidR="00E273FA">
        <w:rPr>
          <w:rFonts w:asciiTheme="minorHAnsi" w:hAnsiTheme="minorHAnsi"/>
        </w:rPr>
        <w:t xml:space="preserve"> no</w:t>
      </w:r>
      <w:r w:rsidRPr="00846AD1">
        <w:rPr>
          <w:rFonts w:asciiTheme="minorHAnsi" w:hAnsiTheme="minorHAnsi"/>
        </w:rPr>
        <w:t xml:space="preserve"> Instituto de Defesa Nacional</w:t>
      </w:r>
    </w:p>
    <w:p w:rsidR="00846AD1" w:rsidRDefault="00E273FA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Lisboa, 01 de fevereiro</w:t>
      </w:r>
      <w:r w:rsidR="00846AD1" w:rsidRPr="00846AD1">
        <w:rPr>
          <w:rFonts w:asciiTheme="minorHAnsi" w:hAnsiTheme="minorHAnsi"/>
          <w:b w:val="0"/>
        </w:rPr>
        <w:t xml:space="preserve"> de 2015</w:t>
      </w: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846AD1" w:rsidRDefault="00846AD1" w:rsidP="00846AD1">
      <w:pPr>
        <w:pStyle w:val="Ttulo"/>
        <w:spacing w:line="480" w:lineRule="auto"/>
        <w:jc w:val="left"/>
        <w:rPr>
          <w:rFonts w:asciiTheme="minorHAnsi" w:hAnsiTheme="minorHAnsi"/>
          <w:b w:val="0"/>
        </w:rPr>
      </w:pPr>
    </w:p>
    <w:p w:rsidR="00E273FA" w:rsidRDefault="00E273FA" w:rsidP="00E273FA">
      <w:pPr>
        <w:spacing w:line="360" w:lineRule="auto"/>
        <w:rPr>
          <w:rFonts w:asciiTheme="minorHAnsi" w:eastAsiaTheme="minorHAnsi" w:hAnsiTheme="minorHAnsi"/>
          <w:lang w:eastAsia="en-US"/>
        </w:rPr>
      </w:pPr>
    </w:p>
    <w:p w:rsidR="00E273FA" w:rsidRDefault="00E273FA" w:rsidP="00E273FA">
      <w:pPr>
        <w:spacing w:line="360" w:lineRule="auto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Muito Bom dia!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Saúdo, em primeiro lugar, a Mesa de Honra deste Seminário: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 Senhor Diretor do Instituto da Defesa Nacional, Major-General Vítor Rodrigues Viana, e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 Senhor Embaixador ao Comité Político e de Segurança, Rui Vinhas,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Saúdo esta magnífica assembleia: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Excelentíssimo Senhor General Chefe do Estado-Maior-General das Forças Armadas;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Excelentíssimo Senhor General Chefe do Estado-Maior da Força Aérea;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 Senhor Almirante Chefe de Estado-Maior da Armada;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Excelentíssimos Senhores Deputados à Assembleia da República;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Excelentíssimos Senhores Embaixadores;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Excelentíssimos Senhores Dirigentes;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Excelentíssimos Senhores Oficiais Generais;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Excelentíssimos Conferencistas e Moderadores;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Excelentíssimos Convidados;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Senhoras e Senhores Auditores do Curso de Defesa Nacional;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Minhas Senhoras e Meus Senhores.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Permitam-me que comece por saudar esta iniciativa que junta os Ministérios dos Negócios Estrangeiros e da Defesa Nacional de Portugal, além de instituições tão prestigiadas como o Colégio Europeu de Segurança e Defesa, o Instituto de Estudos para a Segurança da União Europeia e, por último mas não por último, o Instituto de Defesa Nacional que hoje nos acolhe como anfitrião deste Seminário.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Agradeço portanto, na pessoa do seu Diretor, Senhor Major-General Vítor Rodrigues Viana, a oportunidade de partilhar, neste contexto, uma reflexão necessariamente </w:t>
      </w:r>
      <w:r w:rsidRPr="00E273FA">
        <w:rPr>
          <w:rFonts w:asciiTheme="minorHAnsi" w:eastAsiaTheme="minorHAnsi" w:hAnsiTheme="minorHAnsi"/>
          <w:lang w:eastAsia="en-US"/>
        </w:rPr>
        <w:lastRenderedPageBreak/>
        <w:t>breve sobre um tópico tão candente para o futuro da Europa que, por importar ao futuro da Europa, importa a cada um de nós.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De facto, estamos no momento certo para testemunhar que a </w:t>
      </w:r>
      <w:r w:rsidRPr="00E273FA">
        <w:rPr>
          <w:rFonts w:asciiTheme="minorHAnsi" w:eastAsiaTheme="minorHAnsi" w:hAnsiTheme="minorHAnsi"/>
          <w:i/>
          <w:lang w:eastAsia="en-US"/>
        </w:rPr>
        <w:t>Estratégia Europeia de Segurança</w:t>
      </w:r>
      <w:r w:rsidRPr="00E273FA">
        <w:rPr>
          <w:rFonts w:asciiTheme="minorHAnsi" w:eastAsiaTheme="minorHAnsi" w:hAnsiTheme="minorHAnsi"/>
          <w:lang w:eastAsia="en-US"/>
        </w:rPr>
        <w:t xml:space="preserve"> adotada em 2003, embora revista em 2008, deixou de conseguir responder plenamente aos desafios de um ambiente geopolítico em acelerada mutação e, diriam alguns, em acelerada confusão.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É normal, diga-se. As transformações a que temos vindo a assistir, tanto no nosso continente como por outras bandas, são de tal envergadura e complexidade que questionam conceitos, mostram ameaças diferentes, impõem outras estratégias e abordagens, convocam-nos para zonas ambíguas e de solução imperiosa mesmo lá onde ainda a não conseguimos encontrar. Uma das referências próximas da Estratégia de 2003 era o Kosovo e eram ainda os Balcãs, era a Al-Qaeda que ainda muito pouco conhecíamos. Hoje, as referências são mais perigosas, mais imediatas e igualmente de difícil apreensão. Do mesmo modo, e muito claramente, a União Europeia não pode, de modo confortável, continuar a esperar que outro assegure o essencial das tarefas e encargos relativos à sua segurança e, sobretudo, à sua defesa. Esses são tempos que já foram, cabendo-nos, penso que de forma perene, definirmos se sim, e se sim em que termos, queremos assumir de vez os nossos destinos também nessa esfera.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A tarefa de gizar uma nova </w:t>
      </w:r>
      <w:r w:rsidRPr="00E273FA">
        <w:rPr>
          <w:rFonts w:asciiTheme="minorHAnsi" w:eastAsiaTheme="minorHAnsi" w:hAnsiTheme="minorHAnsi"/>
          <w:i/>
          <w:lang w:eastAsia="en-US"/>
        </w:rPr>
        <w:t>Estratégia Global para a União Europeia</w:t>
      </w:r>
      <w:r w:rsidRPr="00E273FA">
        <w:rPr>
          <w:rFonts w:asciiTheme="minorHAnsi" w:eastAsiaTheme="minorHAnsi" w:hAnsiTheme="minorHAnsi"/>
          <w:lang w:eastAsia="en-US"/>
        </w:rPr>
        <w:t xml:space="preserve"> é, portanto, urgente.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Lidamos dificilmente, por exemplo, com pulsões contraditórias na nossa vizinhança. Ficámos entusiasmados, de forma algo ingénua e às vezes a um ponto quase inexplicável, perante alegadas primaveras democráticas que depois nos desiludiram o mais delas. Olhando embevecidos, deixámos que territórios ficassem apetecíveis, porque desprotegidos, no Magrebe como no Sahel. Mostrámos uma desagradável tendência para comportamentos muito marcados pela mera dimensão reativa, às vezes, </w:t>
      </w:r>
      <w:r w:rsidRPr="00E273FA">
        <w:rPr>
          <w:rFonts w:asciiTheme="minorHAnsi" w:eastAsiaTheme="minorHAnsi" w:hAnsiTheme="minorHAnsi"/>
          <w:lang w:eastAsia="en-US"/>
        </w:rPr>
        <w:lastRenderedPageBreak/>
        <w:t>infelizmente, sopesando de modo algo superficial as consequências do que íamos fazendo.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Tivemos e continuamos a ter dificuldade em compreender como no terreno pode ser tarefa torturada, se não mesmo impossível, escolher entre um ou outro opositor, porque todos são inaceitáveis mesmo para o mais empedernido adepto das teses realistas das relações internacionais.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Intramuros, isto é, no nosso espaço que tínhamos como definitivamente democrático e sem riscos, assistimos estupefactos a excessos populistas que procuram acordar nacionalismos dormentes que desejam novos inimigos, porque é dos livros que a existência de um inimigo suficientemente ameaçador dirige as atenções para longe.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É como há mais de quatro séculos escrevia em três proposições lapidares Jean Bodin, no quinto dos seus seis livros sobre a República: a guerra com o inimigo é um meio de manter os súbditos em amizade e é um modo de expurgar a República de vagabundos e sediciosos. E, finalmente, o temor dos inimigos mantém os súbditos em sentido.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Por isso, e sem querer ser provocatório, talvez um dos principais desafios destes dias que vivemos seja, até mais do que a construção definitiva e robusta de </w:t>
      </w:r>
      <w:r w:rsidRPr="00E273FA">
        <w:rPr>
          <w:rFonts w:asciiTheme="minorHAnsi" w:eastAsiaTheme="minorHAnsi" w:hAnsiTheme="minorHAnsi"/>
          <w:i/>
          <w:lang w:eastAsia="en-US"/>
        </w:rPr>
        <w:t>uma</w:t>
      </w:r>
      <w:r w:rsidRPr="00E273FA">
        <w:rPr>
          <w:rFonts w:asciiTheme="minorHAnsi" w:eastAsiaTheme="minorHAnsi" w:hAnsiTheme="minorHAnsi"/>
          <w:lang w:eastAsia="en-US"/>
        </w:rPr>
        <w:t xml:space="preserve"> política externa e de defesa europeia, impedir que se proclamem como </w:t>
      </w:r>
      <w:r w:rsidRPr="00E273FA">
        <w:rPr>
          <w:rFonts w:asciiTheme="minorHAnsi" w:eastAsiaTheme="minorHAnsi" w:hAnsiTheme="minorHAnsi"/>
          <w:i/>
          <w:lang w:eastAsia="en-US"/>
        </w:rPr>
        <w:t>europeias</w:t>
      </w:r>
      <w:r w:rsidRPr="00E273FA">
        <w:rPr>
          <w:rFonts w:asciiTheme="minorHAnsi" w:eastAsiaTheme="minorHAnsi" w:hAnsiTheme="minorHAnsi"/>
          <w:lang w:eastAsia="en-US"/>
        </w:rPr>
        <w:t xml:space="preserve"> várias e dispersas políticas externas e de segurança.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Somos confrontados com riscos e ameaças muito significativos que não conhecíamos, de forma mais visível (como ainda há pouco sentimos com horror em Paris) como menos visível (tudo aquilo que nos obriga a construir uma ciberdefesa competente). É tempo, todos concordaremos, de definirmos, de forma estruturada e sistemática, um modo-de-agir europeu que os europeus compreendam, aceitem e legitimem.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Portugal, sinto especial gosto em o assinalar, tem vindo ativamente a dar o seu contributo para o desenho desta </w:t>
      </w:r>
      <w:r w:rsidRPr="00E273FA">
        <w:rPr>
          <w:rFonts w:asciiTheme="minorHAnsi" w:eastAsiaTheme="minorHAnsi" w:hAnsiTheme="minorHAnsi"/>
          <w:bCs/>
          <w:lang w:eastAsia="en-US"/>
        </w:rPr>
        <w:t xml:space="preserve">Estratégia Global da União Europeia para a Política </w:t>
      </w:r>
      <w:r w:rsidRPr="00E273FA">
        <w:rPr>
          <w:rFonts w:asciiTheme="minorHAnsi" w:eastAsiaTheme="minorHAnsi" w:hAnsiTheme="minorHAnsi"/>
          <w:bCs/>
          <w:lang w:eastAsia="en-US"/>
        </w:rPr>
        <w:lastRenderedPageBreak/>
        <w:t>Externa e de Segurança, saudando nela uma oportunidade para, em conjunto – Estados-membros, instituições e sociedade civil – reforçarmos o nosso posicionamento global e acordarmos uma mais clara definição dos nossos interesses estratégicos.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bCs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bCs/>
          <w:lang w:eastAsia="en-US"/>
        </w:rPr>
        <w:t>Dos trabalhos e percurso já transcorridos, não há como não nos associarmos às prioridades que esta Estratégia já soube definir, designadamente no que diz respeito ao objetivo de consolidar a resiliência democrática da UE e dos seus Estados-membros, bem como dos Estados e sociedades nas regiões suas vizinhas. E, perdoe-se a breve nota que não se pretende crítica, terá chegado a altura de concretizar, de trazer a uma luz mais terrena e mais crua e mais operacional aqueles conceitos em que todos, estou certo, nos revemos com muita convicção.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bCs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bCs/>
          <w:lang w:eastAsia="en-US"/>
        </w:rPr>
        <w:t xml:space="preserve">A proposta que esta Estratégia traz, enfim (ou até que enfim!) no plano da União Europeia, de uma abordagem integrada e multidimensional relativamente a conflitos e crise é igualmente indisputável. E o mesmo se diga, embora com alguns fortes desequilíbrios sob uma perspetiva de ameaça, da sua visão da segurança regional na direção do pleno dos pontos cardiais da rosa-dos-ventos. Em linha com o que muito se tem debatido na NATO, permitam-me que destaque apenas duas das direções, porque não se esqueça que é um olhar da Defesa aquele que aqui proponho: </w:t>
      </w:r>
    </w:p>
    <w:p w:rsidR="00E273FA" w:rsidRPr="00E273FA" w:rsidRDefault="00E273FA" w:rsidP="00E273FA">
      <w:pPr>
        <w:spacing w:line="360" w:lineRule="auto"/>
        <w:ind w:firstLine="284"/>
        <w:jc w:val="both"/>
        <w:rPr>
          <w:rFonts w:asciiTheme="minorHAnsi" w:eastAsiaTheme="minorHAnsi" w:hAnsiTheme="minorHAnsi"/>
          <w:bCs/>
          <w:lang w:eastAsia="en-US"/>
        </w:rPr>
      </w:pPr>
    </w:p>
    <w:p w:rsidR="00E273FA" w:rsidRPr="00E273FA" w:rsidRDefault="00E273FA" w:rsidP="00E273FA">
      <w:pPr>
        <w:numPr>
          <w:ilvl w:val="0"/>
          <w:numId w:val="16"/>
        </w:numPr>
        <w:spacing w:after="160" w:line="360" w:lineRule="auto"/>
        <w:contextualSpacing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bCs/>
          <w:lang w:eastAsia="en-US"/>
        </w:rPr>
        <w:t>A Leste, porque imediatamente nos convocam as agendas de atores como a Rússia, a Ucrânia e, já entre nós, da Polónia;</w:t>
      </w:r>
    </w:p>
    <w:p w:rsidR="00E273FA" w:rsidRPr="00E273FA" w:rsidRDefault="00E273FA" w:rsidP="00E273FA">
      <w:pPr>
        <w:spacing w:line="360" w:lineRule="auto"/>
        <w:ind w:left="720"/>
        <w:contextualSpacing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bCs/>
          <w:lang w:eastAsia="en-US"/>
        </w:rPr>
        <w:t>e</w:t>
      </w:r>
    </w:p>
    <w:p w:rsidR="00E273FA" w:rsidRPr="00E273FA" w:rsidRDefault="00E273FA" w:rsidP="00E273FA">
      <w:pPr>
        <w:numPr>
          <w:ilvl w:val="0"/>
          <w:numId w:val="16"/>
        </w:numPr>
        <w:spacing w:after="160" w:line="360" w:lineRule="auto"/>
        <w:ind w:left="709" w:hanging="425"/>
        <w:contextualSpacing/>
        <w:jc w:val="both"/>
        <w:rPr>
          <w:rFonts w:asciiTheme="minorHAnsi" w:eastAsiaTheme="minorHAnsi" w:hAnsiTheme="minorHAnsi"/>
          <w:bCs/>
          <w:lang w:eastAsia="en-US"/>
        </w:rPr>
      </w:pPr>
      <w:r w:rsidRPr="00E273FA">
        <w:rPr>
          <w:rFonts w:asciiTheme="minorHAnsi" w:eastAsiaTheme="minorHAnsi" w:hAnsiTheme="minorHAnsi"/>
          <w:bCs/>
          <w:lang w:eastAsia="en-US"/>
        </w:rPr>
        <w:t>A Sul, porque somos chamados a assumir responsabilidades pelas vítimas do conflito sírio e do Daesh e porque a isso nos obriga a própria visão do Conselho de Segurança e a nossa defesa em sentido estrito, mas também pelo desenraizamento que a pobreza e a desesperança provocam no continente africano.</w:t>
      </w:r>
    </w:p>
    <w:p w:rsidR="00E273FA" w:rsidRPr="00E273FA" w:rsidRDefault="00E273FA" w:rsidP="00E273FA">
      <w:pPr>
        <w:spacing w:line="360" w:lineRule="auto"/>
        <w:ind w:firstLine="284"/>
        <w:jc w:val="both"/>
        <w:rPr>
          <w:rFonts w:asciiTheme="minorHAnsi" w:eastAsiaTheme="minorHAnsi" w:hAnsiTheme="minorHAnsi"/>
          <w:bCs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Estão lançados os dados para que a UE se possa ou não consolidar no estatuto de ator global que parece estar-lhe destinado. Porém, e permitam-me que insista, falta ainda (e </w:t>
      </w:r>
      <w:r w:rsidRPr="00E273FA">
        <w:rPr>
          <w:rFonts w:asciiTheme="minorHAnsi" w:eastAsiaTheme="minorHAnsi" w:hAnsiTheme="minorHAnsi"/>
          <w:lang w:eastAsia="en-US"/>
        </w:rPr>
        <w:lastRenderedPageBreak/>
        <w:t xml:space="preserve">não é tarefa de pouca monta) dar conteúdo prático e operacional à nova Estratégia. E faltando ainda, o que se tem afigurado de ainda maior envergadura, uma assunção clara de um projeto europeu, de uma União Europeia </w:t>
      </w:r>
      <w:r w:rsidRPr="00E273FA">
        <w:rPr>
          <w:rFonts w:asciiTheme="minorHAnsi" w:eastAsiaTheme="minorHAnsi" w:hAnsiTheme="minorHAnsi"/>
          <w:i/>
          <w:lang w:eastAsia="en-US"/>
        </w:rPr>
        <w:t>também</w:t>
      </w:r>
      <w:r w:rsidRPr="00E273FA">
        <w:rPr>
          <w:rFonts w:asciiTheme="minorHAnsi" w:eastAsiaTheme="minorHAnsi" w:hAnsiTheme="minorHAnsi"/>
          <w:lang w:eastAsia="en-US"/>
        </w:rPr>
        <w:t xml:space="preserve"> na Defesa. Permitam-me que seja ainda mais claro. Ninguém questiona a NATO e a sua relevância matricial na garantia da nossa segurança. Mas ninguém deverá questionar, por outro lado, a impossibilidade de a União se manter arredada por muito mais tempo de uma reflexão e ação consistentes naquilo que à nossa defesa e segurança se refere. Porque, acontecendo essa omissão, teremos sempre União Europeia, ou assim o espero como europeísta convicto. Mas teremos também, estou certo, uma União Europeia que continuará a ser menor, tanto politicamente como do ponto de vista do seu elemento essencial – que é, justamente, o ser uma </w:t>
      </w:r>
      <w:r w:rsidRPr="00E273FA">
        <w:rPr>
          <w:rFonts w:asciiTheme="minorHAnsi" w:eastAsiaTheme="minorHAnsi" w:hAnsiTheme="minorHAnsi"/>
          <w:i/>
          <w:lang w:eastAsia="en-US"/>
        </w:rPr>
        <w:t>União</w:t>
      </w:r>
      <w:r w:rsidRPr="00E273FA">
        <w:rPr>
          <w:rFonts w:asciiTheme="minorHAnsi" w:eastAsiaTheme="minorHAnsi" w:hAnsiTheme="minorHAnsi"/>
          <w:lang w:eastAsia="en-US"/>
        </w:rPr>
        <w:t>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Saúde-se, por tudo isto, o facto de os trabalhos em torno do Plano de Ação Europeu de Defesa (PAED) estarem a ser conduzidos em estreita articulação com os desta Estratégia Global de Política Externa e de Segurança.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Mas confesse-se, não obstante, uma ponta de inquietação. Porque, como nos demonstram a realidade e o concreto, pensar em termos de Defesa é cada vez mais um pressuposto, e cada vez menos um simples capítulo, de uma ação externa capaz e eficiente dos Estados ou das Organizações Internacionais. Logo, por identidade ou até maioria de razão, da União Europeia e dos Estados que a compõem.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Como muito bem revelam fenómenos que, quase todos, definitivamente transcendem fronteiras, como as migrações e a </w:t>
      </w:r>
      <w:r w:rsidRPr="00E273FA">
        <w:rPr>
          <w:rFonts w:asciiTheme="minorHAnsi" w:eastAsiaTheme="minorHAnsi" w:hAnsiTheme="minorHAnsi"/>
          <w:i/>
          <w:lang w:eastAsia="en-US"/>
        </w:rPr>
        <w:t xml:space="preserve">internet </w:t>
      </w:r>
      <w:r w:rsidRPr="00E273FA">
        <w:rPr>
          <w:rFonts w:asciiTheme="minorHAnsi" w:eastAsiaTheme="minorHAnsi" w:hAnsiTheme="minorHAnsi"/>
          <w:lang w:eastAsia="en-US"/>
        </w:rPr>
        <w:t>(pela positiva) e o terrorismo e a cibercriminalidade (pela negativa)</w:t>
      </w:r>
      <w:r w:rsidRPr="00E273FA">
        <w:rPr>
          <w:rFonts w:asciiTheme="minorHAnsi" w:eastAsiaTheme="minorHAnsi" w:hAnsiTheme="minorHAnsi"/>
          <w:i/>
          <w:lang w:eastAsia="en-US"/>
        </w:rPr>
        <w:t xml:space="preserve"> </w:t>
      </w:r>
      <w:r w:rsidRPr="00E273FA">
        <w:rPr>
          <w:rFonts w:asciiTheme="minorHAnsi" w:eastAsiaTheme="minorHAnsi" w:hAnsiTheme="minorHAnsi"/>
          <w:lang w:eastAsia="en-US"/>
        </w:rPr>
        <w:t xml:space="preserve">a </w:t>
      </w:r>
      <w:r w:rsidRPr="00E273FA">
        <w:rPr>
          <w:rFonts w:asciiTheme="minorHAnsi" w:eastAsiaTheme="minorHAnsi" w:hAnsiTheme="minorHAnsi"/>
          <w:i/>
          <w:lang w:eastAsia="en-US"/>
        </w:rPr>
        <w:t xml:space="preserve">defesa </w:t>
      </w:r>
      <w:r w:rsidRPr="00E273FA">
        <w:rPr>
          <w:rFonts w:asciiTheme="minorHAnsi" w:eastAsiaTheme="minorHAnsi" w:hAnsiTheme="minorHAnsi"/>
          <w:lang w:eastAsia="en-US"/>
        </w:rPr>
        <w:t xml:space="preserve">é, mais e mais, condição da </w:t>
      </w:r>
      <w:r w:rsidRPr="00E273FA">
        <w:rPr>
          <w:rFonts w:asciiTheme="minorHAnsi" w:eastAsiaTheme="minorHAnsi" w:hAnsiTheme="minorHAnsi"/>
          <w:i/>
          <w:lang w:eastAsia="en-US"/>
        </w:rPr>
        <w:t>segurança</w:t>
      </w:r>
      <w:r w:rsidRPr="00E273FA">
        <w:rPr>
          <w:rFonts w:asciiTheme="minorHAnsi" w:eastAsiaTheme="minorHAnsi" w:hAnsiTheme="minorHAnsi"/>
          <w:lang w:eastAsia="en-US"/>
        </w:rPr>
        <w:t xml:space="preserve">, numa continuidade que se pretende apta a garantir a paz e os direitos humanos dos nossos cidadãos. E continuidade, diga-se, liberta de quaisquer pretensões hegemónicas ou de “capela”, como alguns epifenómenos a que, infelizmente, vamos assistindo e que só nos dividem e nos limitam. Sendo outra vez claro: no plano europeu, não se espere que a Defesa reivindique substituir-se a enquadramentos de Segurança. Mas espera-se da </w:t>
      </w:r>
      <w:r w:rsidRPr="00E273FA">
        <w:rPr>
          <w:rFonts w:asciiTheme="minorHAnsi" w:eastAsiaTheme="minorHAnsi" w:hAnsiTheme="minorHAnsi"/>
          <w:lang w:eastAsia="en-US"/>
        </w:rPr>
        <w:lastRenderedPageBreak/>
        <w:t>mesma sorte que, havendo ou não uma política europeia consolidada na Defesa, se evite a tentação de tudo considerar como Segurança.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Há, por isso, que não subestimar a dimensão da Defesa na discussão da nova estratégia global, reconhecendo a transversalidade deste setor e explorando (diria: até que enfim) todo o potencial da Política Comum de Segurança e Defesa.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A esta devemos assacar missões exequíveis, que recorram – de forma proporcional e no respeito pelo equilíbrio geográfico – à capacidade instalada dos estados-membros, fazendo com que o setor da defesa europeu comungue, também ele, do programa democrático europeu, de preservação das nossas sociedades como espaços plurais, abertos ao mundo e diversos.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Uma política comum de defesa da UE pode e deve, pois, ser um instrumento relevante da sua política externa, ao serviço das suas prioridades no plano geopolítico e diplomático, refiram-se elas ao potencial exportador das tecnologias da defesa, à segurança marítima, ao combate à proliferação de armas químicas ou ao combate ao tráfico de seres humanos. 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Deixam-se, pois, de forma que não pretende ser exaustiva, alguns desafios que esta novíssima Estratégia Global da União Europeia deveria enfrentar, sobretudo – mas não apenas – de uma perspetiva de segurança e defesa:</w:t>
      </w:r>
    </w:p>
    <w:p w:rsidR="00E273FA" w:rsidRPr="00E273FA" w:rsidRDefault="00E273FA" w:rsidP="00E273FA">
      <w:pPr>
        <w:spacing w:line="360" w:lineRule="auto"/>
        <w:ind w:left="284"/>
        <w:contextualSpacing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Como poderá a Estratégia Global da UE fundar uma verdadeira cultura estratégica comum aos estados-membros da UE?</w:t>
      </w: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Como fazer para que ela contribua para traduzir essa cultura numa praxis que seja uma gramática própria comum à defesa dos países europeus?</w:t>
      </w: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Como garantir que essa cultura e essa praxis sejam sobretudo capazes de atuar preventivamente, antecipando (através de uma conceção de Defesa moderna) ameaças à segurança dos nossos cidadãos e protegendo os seus direitos e as suas liberdades fundamentais?</w:t>
      </w: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lastRenderedPageBreak/>
        <w:t>Como tornar a estratégia global reconhecível e clara aos olhos dos parceiros internacionais da União Europeia?</w:t>
      </w: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 xml:space="preserve">Que relações estabelecer com outras organizações multilaterais </w:t>
      </w:r>
      <w:r w:rsidR="00D34454">
        <w:rPr>
          <w:rFonts w:asciiTheme="minorHAnsi" w:eastAsiaTheme="minorHAnsi" w:hAnsiTheme="minorHAnsi"/>
          <w:lang w:eastAsia="en-US"/>
        </w:rPr>
        <w:t>–</w:t>
      </w:r>
      <w:r w:rsidRPr="00E273FA">
        <w:rPr>
          <w:rFonts w:asciiTheme="minorHAnsi" w:eastAsiaTheme="minorHAnsi" w:hAnsiTheme="minorHAnsi"/>
          <w:lang w:eastAsia="en-US"/>
        </w:rPr>
        <w:t xml:space="preserve"> como a OTAN, a ONU, a OSCE?</w:t>
      </w:r>
    </w:p>
    <w:p w:rsidR="00E273FA" w:rsidRPr="00E273FA" w:rsidRDefault="00E273FA" w:rsidP="00E273FA">
      <w:pPr>
        <w:numPr>
          <w:ilvl w:val="0"/>
          <w:numId w:val="15"/>
        </w:numPr>
        <w:spacing w:after="160" w:line="360" w:lineRule="auto"/>
        <w:ind w:left="567" w:hanging="283"/>
        <w:contextualSpacing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Dentro da mesma linha de raciocínio, que relações estabelecer com organizações regionais, como a CEDEAO (Comunidade Económica dos Estados da África Ocidental) e a CEEAC (Comunidade Económica dos Estados da África Central) mas também como o FRA (o Fórum Regional ASEAN), o CDS (Conselho de Defesa sul-americano) que, nos respetivos quadrantes geopolíticos, vão gizando as suas próprias políticas concertadas de segurança, incluindo na vertente da coordenação militar?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A Europa precisa de estabelecer, com confiança, os pilares de uma estratégia de política externa e de segurança que seja própria, isto é, que sirva as suas premissas civilizacionais num mundo globalizado. A prová-lo está, certamente, a tragédia que se vive no seu berço mediterrânico e aqueles que, dia após dia, ali continuam a perecer. Mas a tragédia, minhas senhoras e meus senhores, pode também estar mesmo junto a nós, logo ali ao sair da porta. O terrorismo transnacional aí está para no-lo demonstrar. Cada vez mais profissional, cada vez a comunicar melhor, cada vez a atacar mais fundo aquilo que temos de mais fundo e importante.</w:t>
      </w:r>
    </w:p>
    <w:p w:rsidR="00E273FA" w:rsidRP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E273FA">
        <w:rPr>
          <w:rFonts w:asciiTheme="minorHAnsi" w:eastAsiaTheme="minorHAnsi" w:hAnsiTheme="minorHAnsi"/>
          <w:lang w:eastAsia="en-US"/>
        </w:rPr>
        <w:t>É com este enquadramento, que espero não entendam como pessimista – porque, acreditem, não o é –, que desejo a todos os participantes neste seminário “bom trabalho”. Que as vossas reflexões frutifiquem e contribuam para que a Europa venha finalmente a ser um ator global inspirador e eficaz na resposta aos desafios internacionais que se lhe colocam.</w:t>
      </w:r>
    </w:p>
    <w:p w:rsidR="00E273FA" w:rsidRDefault="00E273FA" w:rsidP="00E273FA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:rsidR="00E273FA" w:rsidRPr="00E273FA" w:rsidRDefault="00E273FA" w:rsidP="00E273FA">
      <w:pPr>
        <w:spacing w:line="360" w:lineRule="auto"/>
        <w:jc w:val="center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***</w:t>
      </w:r>
    </w:p>
    <w:p w:rsidR="00846AD1" w:rsidRDefault="00846AD1" w:rsidP="00E273FA">
      <w:pPr>
        <w:pStyle w:val="Ttulo"/>
        <w:spacing w:line="480" w:lineRule="auto"/>
        <w:jc w:val="both"/>
        <w:rPr>
          <w:rFonts w:asciiTheme="minorHAnsi" w:hAnsiTheme="minorHAnsi"/>
          <w:b w:val="0"/>
        </w:rPr>
      </w:pPr>
    </w:p>
    <w:sectPr w:rsidR="00846AD1" w:rsidSect="005E6A2C">
      <w:headerReference w:type="default" r:id="rId9"/>
      <w:footerReference w:type="even" r:id="rId10"/>
      <w:footerReference w:type="default" r:id="rId11"/>
      <w:pgSz w:w="11906" w:h="16838"/>
      <w:pgMar w:top="1843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D7" w:rsidRDefault="00247ED7">
      <w:r>
        <w:separator/>
      </w:r>
    </w:p>
  </w:endnote>
  <w:endnote w:type="continuationSeparator" w:id="0">
    <w:p w:rsidR="00247ED7" w:rsidRDefault="002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6" w:rsidRDefault="00773A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3AB6" w:rsidRDefault="00773A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6" w:rsidRPr="00AE44AF" w:rsidRDefault="00773AB6">
    <w:pPr>
      <w:pStyle w:val="Rodap"/>
      <w:jc w:val="right"/>
      <w:rPr>
        <w:rFonts w:ascii="Trebuchet MS" w:hAnsi="Trebuchet MS"/>
        <w:sz w:val="22"/>
        <w:szCs w:val="22"/>
      </w:rPr>
    </w:pPr>
    <w:r w:rsidRPr="00AE44AF">
      <w:rPr>
        <w:rFonts w:ascii="Trebuchet MS" w:hAnsi="Trebuchet MS"/>
        <w:sz w:val="22"/>
        <w:szCs w:val="22"/>
      </w:rPr>
      <w:fldChar w:fldCharType="begin"/>
    </w:r>
    <w:r w:rsidRPr="00AE44AF">
      <w:rPr>
        <w:rFonts w:ascii="Trebuchet MS" w:hAnsi="Trebuchet MS"/>
        <w:sz w:val="22"/>
        <w:szCs w:val="22"/>
      </w:rPr>
      <w:instrText>PAGE   \* MERGEFORMAT</w:instrText>
    </w:r>
    <w:r w:rsidRPr="00AE44AF">
      <w:rPr>
        <w:rFonts w:ascii="Trebuchet MS" w:hAnsi="Trebuchet MS"/>
        <w:sz w:val="22"/>
        <w:szCs w:val="22"/>
      </w:rPr>
      <w:fldChar w:fldCharType="separate"/>
    </w:r>
    <w:r w:rsidR="00FB0C40" w:rsidRPr="00FB0C40">
      <w:rPr>
        <w:rFonts w:ascii="Trebuchet MS" w:hAnsi="Trebuchet MS"/>
        <w:noProof/>
        <w:sz w:val="22"/>
        <w:szCs w:val="22"/>
        <w:lang w:val="pt-PT"/>
      </w:rPr>
      <w:t>1</w:t>
    </w:r>
    <w:r w:rsidRPr="00AE44AF">
      <w:rPr>
        <w:rFonts w:ascii="Trebuchet MS" w:hAnsi="Trebuchet MS"/>
        <w:sz w:val="22"/>
        <w:szCs w:val="22"/>
      </w:rPr>
      <w:fldChar w:fldCharType="end"/>
    </w:r>
  </w:p>
  <w:p w:rsidR="00773AB6" w:rsidRPr="00297144" w:rsidRDefault="00773AB6" w:rsidP="00F108A1">
    <w:pPr>
      <w:pStyle w:val="Rodap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D7" w:rsidRDefault="00247ED7">
      <w:r>
        <w:separator/>
      </w:r>
    </w:p>
  </w:footnote>
  <w:footnote w:type="continuationSeparator" w:id="0">
    <w:p w:rsidR="00247ED7" w:rsidRDefault="0024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B6" w:rsidRDefault="00E273FA" w:rsidP="00E273FA">
    <w:pPr>
      <w:pStyle w:val="Cabealho"/>
      <w:jc w:val="center"/>
    </w:pPr>
    <w:r w:rsidRPr="00AC0568">
      <w:rPr>
        <w:noProof/>
        <w:lang w:val="pt-PT" w:eastAsia="pt-PT"/>
      </w:rPr>
      <w:drawing>
        <wp:inline distT="0" distB="0" distL="0" distR="0" wp14:anchorId="5F1B6253" wp14:editId="3897E3FE">
          <wp:extent cx="1600200" cy="590550"/>
          <wp:effectExtent l="0" t="0" r="0" b="0"/>
          <wp:docPr id="2" name="Imagem 1" descr="Print_PT_4C_V_FC_M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t_PT_4C_V_FC_M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3AB6" w:rsidRDefault="00773A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0F4"/>
    <w:multiLevelType w:val="hybridMultilevel"/>
    <w:tmpl w:val="75B64C2C"/>
    <w:lvl w:ilvl="0" w:tplc="A97A59FC">
      <w:start w:val="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12EF7EA3"/>
    <w:multiLevelType w:val="hybridMultilevel"/>
    <w:tmpl w:val="192AC858"/>
    <w:lvl w:ilvl="0" w:tplc="B514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3326"/>
    <w:multiLevelType w:val="hybridMultilevel"/>
    <w:tmpl w:val="D39A76C2"/>
    <w:lvl w:ilvl="0" w:tplc="48DC716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7657DE0"/>
    <w:multiLevelType w:val="hybridMultilevel"/>
    <w:tmpl w:val="C19C37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36549"/>
    <w:multiLevelType w:val="hybridMultilevel"/>
    <w:tmpl w:val="EB8613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464BC"/>
    <w:multiLevelType w:val="hybridMultilevel"/>
    <w:tmpl w:val="55784192"/>
    <w:lvl w:ilvl="0" w:tplc="3878B99E">
      <w:numFmt w:val="bullet"/>
      <w:lvlText w:val="-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E627394"/>
    <w:multiLevelType w:val="hybridMultilevel"/>
    <w:tmpl w:val="17C09438"/>
    <w:lvl w:ilvl="0" w:tplc="9E6ADD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43411"/>
    <w:multiLevelType w:val="multilevel"/>
    <w:tmpl w:val="5EC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C1AC7"/>
    <w:multiLevelType w:val="hybridMultilevel"/>
    <w:tmpl w:val="2E38A7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386A"/>
    <w:multiLevelType w:val="hybridMultilevel"/>
    <w:tmpl w:val="CD108068"/>
    <w:lvl w:ilvl="0" w:tplc="9D80A0CA">
      <w:numFmt w:val="bullet"/>
      <w:lvlText w:val="•"/>
      <w:lvlJc w:val="left"/>
      <w:pPr>
        <w:ind w:left="720" w:hanging="360"/>
      </w:pPr>
      <w:rPr>
        <w:rFonts w:ascii="Candara" w:eastAsia="Times New Roman" w:hAnsi="Candara" w:cs="Candara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B30C8"/>
    <w:multiLevelType w:val="multilevel"/>
    <w:tmpl w:val="2C7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A3D79"/>
    <w:multiLevelType w:val="hybridMultilevel"/>
    <w:tmpl w:val="75CCB330"/>
    <w:lvl w:ilvl="0" w:tplc="C256049A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HAnsi" w:hAnsiTheme="minorHAnsi"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0541E"/>
    <w:multiLevelType w:val="hybridMultilevel"/>
    <w:tmpl w:val="9670C5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41219"/>
    <w:multiLevelType w:val="hybridMultilevel"/>
    <w:tmpl w:val="2E38A7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F1288"/>
    <w:multiLevelType w:val="multilevel"/>
    <w:tmpl w:val="E500B4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sz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Tahoma" w:hAnsi="Tahoma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ascii="Tahoma" w:hAnsi="Tahoma" w:hint="default"/>
        <w:sz w:val="24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ahoma" w:hAnsi="Tahoma" w:hint="default"/>
        <w:sz w:val="24"/>
        <w:u w:val="single"/>
      </w:rPr>
    </w:lvl>
    <w:lvl w:ilvl="5">
      <w:start w:val="1"/>
      <w:numFmt w:val="lowerLetter"/>
      <w:lvlText w:val="%6"/>
      <w:lvlJc w:val="left"/>
      <w:pPr>
        <w:tabs>
          <w:tab w:val="num" w:pos="3402"/>
        </w:tabs>
        <w:ind w:left="3402" w:hanging="567"/>
      </w:pPr>
      <w:rPr>
        <w:rFonts w:ascii="Tahoma" w:hAnsi="Tahoma" w:hint="default"/>
        <w:sz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D4E7B44"/>
    <w:multiLevelType w:val="multilevel"/>
    <w:tmpl w:val="3FB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15"/>
  </w:num>
  <w:num w:numId="13">
    <w:abstractNumId w:val="1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4"/>
    <w:rsid w:val="00001515"/>
    <w:rsid w:val="000042EC"/>
    <w:rsid w:val="00005864"/>
    <w:rsid w:val="00005D0A"/>
    <w:rsid w:val="00013841"/>
    <w:rsid w:val="000143FA"/>
    <w:rsid w:val="000162B0"/>
    <w:rsid w:val="00022E3D"/>
    <w:rsid w:val="00024931"/>
    <w:rsid w:val="000319D4"/>
    <w:rsid w:val="00050D2A"/>
    <w:rsid w:val="0005646B"/>
    <w:rsid w:val="00060DF8"/>
    <w:rsid w:val="00062FC3"/>
    <w:rsid w:val="00063A88"/>
    <w:rsid w:val="00064BC7"/>
    <w:rsid w:val="000713F3"/>
    <w:rsid w:val="000916E7"/>
    <w:rsid w:val="000925DD"/>
    <w:rsid w:val="00093FBC"/>
    <w:rsid w:val="000A38A8"/>
    <w:rsid w:val="000A7456"/>
    <w:rsid w:val="000B2351"/>
    <w:rsid w:val="000B2916"/>
    <w:rsid w:val="000B5350"/>
    <w:rsid w:val="000B7BC4"/>
    <w:rsid w:val="000C681B"/>
    <w:rsid w:val="000D2C81"/>
    <w:rsid w:val="000E338C"/>
    <w:rsid w:val="000E53A7"/>
    <w:rsid w:val="000F612F"/>
    <w:rsid w:val="000F6769"/>
    <w:rsid w:val="000F7A84"/>
    <w:rsid w:val="001020EE"/>
    <w:rsid w:val="0011367E"/>
    <w:rsid w:val="001207CA"/>
    <w:rsid w:val="00123174"/>
    <w:rsid w:val="00123FDD"/>
    <w:rsid w:val="001257D7"/>
    <w:rsid w:val="00130A83"/>
    <w:rsid w:val="00130CDC"/>
    <w:rsid w:val="001328B9"/>
    <w:rsid w:val="00136DC1"/>
    <w:rsid w:val="001424B9"/>
    <w:rsid w:val="00154C99"/>
    <w:rsid w:val="001616D6"/>
    <w:rsid w:val="001719AA"/>
    <w:rsid w:val="0017322F"/>
    <w:rsid w:val="00184900"/>
    <w:rsid w:val="001867D4"/>
    <w:rsid w:val="00190CF2"/>
    <w:rsid w:val="001929C6"/>
    <w:rsid w:val="001B130A"/>
    <w:rsid w:val="001B3A17"/>
    <w:rsid w:val="001C2EA8"/>
    <w:rsid w:val="001D219C"/>
    <w:rsid w:val="001D4319"/>
    <w:rsid w:val="001D71E5"/>
    <w:rsid w:val="001D742A"/>
    <w:rsid w:val="001E46D6"/>
    <w:rsid w:val="001F0ED0"/>
    <w:rsid w:val="00201FA0"/>
    <w:rsid w:val="002031F0"/>
    <w:rsid w:val="0020372C"/>
    <w:rsid w:val="002056FC"/>
    <w:rsid w:val="00215802"/>
    <w:rsid w:val="00216794"/>
    <w:rsid w:val="002215F7"/>
    <w:rsid w:val="00241E7E"/>
    <w:rsid w:val="00245006"/>
    <w:rsid w:val="00246E4D"/>
    <w:rsid w:val="00247ED7"/>
    <w:rsid w:val="00255FB5"/>
    <w:rsid w:val="00265522"/>
    <w:rsid w:val="00265AD3"/>
    <w:rsid w:val="0026786E"/>
    <w:rsid w:val="0028787D"/>
    <w:rsid w:val="00293B5C"/>
    <w:rsid w:val="002955AB"/>
    <w:rsid w:val="00297144"/>
    <w:rsid w:val="002B36D4"/>
    <w:rsid w:val="002D6A7E"/>
    <w:rsid w:val="002E1BEE"/>
    <w:rsid w:val="002E2D43"/>
    <w:rsid w:val="002E32A3"/>
    <w:rsid w:val="002E4E9B"/>
    <w:rsid w:val="002F5D72"/>
    <w:rsid w:val="00311B5F"/>
    <w:rsid w:val="00313738"/>
    <w:rsid w:val="00313E8F"/>
    <w:rsid w:val="003140CF"/>
    <w:rsid w:val="0032260F"/>
    <w:rsid w:val="00322FC1"/>
    <w:rsid w:val="0032686B"/>
    <w:rsid w:val="003308EA"/>
    <w:rsid w:val="00333381"/>
    <w:rsid w:val="00341AC3"/>
    <w:rsid w:val="00342DAE"/>
    <w:rsid w:val="00344557"/>
    <w:rsid w:val="0035297E"/>
    <w:rsid w:val="003548B0"/>
    <w:rsid w:val="00354D2D"/>
    <w:rsid w:val="00355A31"/>
    <w:rsid w:val="00357208"/>
    <w:rsid w:val="003572EA"/>
    <w:rsid w:val="003631FC"/>
    <w:rsid w:val="003929B7"/>
    <w:rsid w:val="00395B1B"/>
    <w:rsid w:val="003A33BF"/>
    <w:rsid w:val="003A4DBF"/>
    <w:rsid w:val="003C1186"/>
    <w:rsid w:val="003C5E5E"/>
    <w:rsid w:val="003D332C"/>
    <w:rsid w:val="003E3FD2"/>
    <w:rsid w:val="003E5902"/>
    <w:rsid w:val="00401555"/>
    <w:rsid w:val="004017A0"/>
    <w:rsid w:val="004026B0"/>
    <w:rsid w:val="004026D9"/>
    <w:rsid w:val="004063B6"/>
    <w:rsid w:val="00407F2E"/>
    <w:rsid w:val="0041197A"/>
    <w:rsid w:val="00415891"/>
    <w:rsid w:val="0042082E"/>
    <w:rsid w:val="004426D4"/>
    <w:rsid w:val="00447DC3"/>
    <w:rsid w:val="00451440"/>
    <w:rsid w:val="004516BC"/>
    <w:rsid w:val="00451D0D"/>
    <w:rsid w:val="00461A16"/>
    <w:rsid w:val="00470DEF"/>
    <w:rsid w:val="00471F38"/>
    <w:rsid w:val="00472988"/>
    <w:rsid w:val="00484D70"/>
    <w:rsid w:val="004A0BCC"/>
    <w:rsid w:val="004A549B"/>
    <w:rsid w:val="004B019D"/>
    <w:rsid w:val="004C0271"/>
    <w:rsid w:val="004C7AB9"/>
    <w:rsid w:val="004D63E2"/>
    <w:rsid w:val="004D6FC1"/>
    <w:rsid w:val="004E3925"/>
    <w:rsid w:val="004E3F71"/>
    <w:rsid w:val="004E64D3"/>
    <w:rsid w:val="004F02C9"/>
    <w:rsid w:val="004F313A"/>
    <w:rsid w:val="00507138"/>
    <w:rsid w:val="0051083C"/>
    <w:rsid w:val="0051487E"/>
    <w:rsid w:val="005242D3"/>
    <w:rsid w:val="0052493B"/>
    <w:rsid w:val="005264D1"/>
    <w:rsid w:val="005372CF"/>
    <w:rsid w:val="00553377"/>
    <w:rsid w:val="0056162C"/>
    <w:rsid w:val="005625CC"/>
    <w:rsid w:val="00562F08"/>
    <w:rsid w:val="005774CD"/>
    <w:rsid w:val="00577653"/>
    <w:rsid w:val="00597F87"/>
    <w:rsid w:val="005B08EA"/>
    <w:rsid w:val="005B0A45"/>
    <w:rsid w:val="005B3C47"/>
    <w:rsid w:val="005B5D63"/>
    <w:rsid w:val="005C7C7D"/>
    <w:rsid w:val="005D4782"/>
    <w:rsid w:val="005E0599"/>
    <w:rsid w:val="005E5863"/>
    <w:rsid w:val="005E6A2C"/>
    <w:rsid w:val="005E6D31"/>
    <w:rsid w:val="005F3D87"/>
    <w:rsid w:val="005F6016"/>
    <w:rsid w:val="00612073"/>
    <w:rsid w:val="0061228B"/>
    <w:rsid w:val="006213AC"/>
    <w:rsid w:val="006258CF"/>
    <w:rsid w:val="00626314"/>
    <w:rsid w:val="006467AA"/>
    <w:rsid w:val="0065592E"/>
    <w:rsid w:val="0066769F"/>
    <w:rsid w:val="006715B6"/>
    <w:rsid w:val="00673B99"/>
    <w:rsid w:val="006864AF"/>
    <w:rsid w:val="006A23A5"/>
    <w:rsid w:val="006A6D2B"/>
    <w:rsid w:val="006A6E46"/>
    <w:rsid w:val="006B1EFF"/>
    <w:rsid w:val="006B31F3"/>
    <w:rsid w:val="006C066C"/>
    <w:rsid w:val="006C1C6E"/>
    <w:rsid w:val="006C260A"/>
    <w:rsid w:val="006C35B9"/>
    <w:rsid w:val="006C57ED"/>
    <w:rsid w:val="006C5E6E"/>
    <w:rsid w:val="006D08B9"/>
    <w:rsid w:val="006D185C"/>
    <w:rsid w:val="006D25C0"/>
    <w:rsid w:val="006E0A68"/>
    <w:rsid w:val="006E0F6E"/>
    <w:rsid w:val="006E1FC2"/>
    <w:rsid w:val="006E3B28"/>
    <w:rsid w:val="006E66AA"/>
    <w:rsid w:val="006F30FA"/>
    <w:rsid w:val="006F698C"/>
    <w:rsid w:val="007022E5"/>
    <w:rsid w:val="00706912"/>
    <w:rsid w:val="00712D4C"/>
    <w:rsid w:val="0072246F"/>
    <w:rsid w:val="00724139"/>
    <w:rsid w:val="0072505E"/>
    <w:rsid w:val="00737991"/>
    <w:rsid w:val="00737B4F"/>
    <w:rsid w:val="00745B67"/>
    <w:rsid w:val="007521F6"/>
    <w:rsid w:val="00753827"/>
    <w:rsid w:val="007573C1"/>
    <w:rsid w:val="0076210B"/>
    <w:rsid w:val="00766B70"/>
    <w:rsid w:val="00773AB6"/>
    <w:rsid w:val="00777ADB"/>
    <w:rsid w:val="00780A94"/>
    <w:rsid w:val="00781A48"/>
    <w:rsid w:val="0078238F"/>
    <w:rsid w:val="0078299C"/>
    <w:rsid w:val="00784254"/>
    <w:rsid w:val="00786CE5"/>
    <w:rsid w:val="00794963"/>
    <w:rsid w:val="007A0179"/>
    <w:rsid w:val="007A09A6"/>
    <w:rsid w:val="007B77ED"/>
    <w:rsid w:val="007C61BD"/>
    <w:rsid w:val="007C65A5"/>
    <w:rsid w:val="007D70BE"/>
    <w:rsid w:val="007D7841"/>
    <w:rsid w:val="007E4C61"/>
    <w:rsid w:val="007E7E9D"/>
    <w:rsid w:val="0080780D"/>
    <w:rsid w:val="00822320"/>
    <w:rsid w:val="0082728A"/>
    <w:rsid w:val="00831D65"/>
    <w:rsid w:val="00832CBF"/>
    <w:rsid w:val="008362D7"/>
    <w:rsid w:val="008374D2"/>
    <w:rsid w:val="0084148B"/>
    <w:rsid w:val="00843647"/>
    <w:rsid w:val="00846AD1"/>
    <w:rsid w:val="0085546F"/>
    <w:rsid w:val="00863D0F"/>
    <w:rsid w:val="00871180"/>
    <w:rsid w:val="008879F0"/>
    <w:rsid w:val="0089096E"/>
    <w:rsid w:val="00894BB8"/>
    <w:rsid w:val="008B3EB9"/>
    <w:rsid w:val="008B690B"/>
    <w:rsid w:val="008C1839"/>
    <w:rsid w:val="008C7738"/>
    <w:rsid w:val="008D3945"/>
    <w:rsid w:val="008D7141"/>
    <w:rsid w:val="008D75F5"/>
    <w:rsid w:val="008E150F"/>
    <w:rsid w:val="008F1944"/>
    <w:rsid w:val="008F1C5C"/>
    <w:rsid w:val="008F2880"/>
    <w:rsid w:val="008F4B33"/>
    <w:rsid w:val="00904066"/>
    <w:rsid w:val="00912A7C"/>
    <w:rsid w:val="009138A2"/>
    <w:rsid w:val="00933B05"/>
    <w:rsid w:val="00937622"/>
    <w:rsid w:val="0096607A"/>
    <w:rsid w:val="009703E6"/>
    <w:rsid w:val="009A5268"/>
    <w:rsid w:val="009A5BEF"/>
    <w:rsid w:val="009A7787"/>
    <w:rsid w:val="009B18EA"/>
    <w:rsid w:val="009C2E06"/>
    <w:rsid w:val="009C3324"/>
    <w:rsid w:val="009C6302"/>
    <w:rsid w:val="009C706A"/>
    <w:rsid w:val="009D3158"/>
    <w:rsid w:val="009D34CC"/>
    <w:rsid w:val="009D6B04"/>
    <w:rsid w:val="009E153D"/>
    <w:rsid w:val="009E31B1"/>
    <w:rsid w:val="009E3BBF"/>
    <w:rsid w:val="009F0951"/>
    <w:rsid w:val="009F6905"/>
    <w:rsid w:val="00A00F97"/>
    <w:rsid w:val="00A200E2"/>
    <w:rsid w:val="00A24D5A"/>
    <w:rsid w:val="00A33545"/>
    <w:rsid w:val="00A44082"/>
    <w:rsid w:val="00A4493B"/>
    <w:rsid w:val="00A44CE9"/>
    <w:rsid w:val="00A4674E"/>
    <w:rsid w:val="00A6191E"/>
    <w:rsid w:val="00A70F55"/>
    <w:rsid w:val="00A71E9C"/>
    <w:rsid w:val="00A7752E"/>
    <w:rsid w:val="00A82F81"/>
    <w:rsid w:val="00A85A61"/>
    <w:rsid w:val="00A87AB8"/>
    <w:rsid w:val="00A901BA"/>
    <w:rsid w:val="00A93E4B"/>
    <w:rsid w:val="00AA6BFB"/>
    <w:rsid w:val="00AB1219"/>
    <w:rsid w:val="00AB33D1"/>
    <w:rsid w:val="00AB5A73"/>
    <w:rsid w:val="00AB71D1"/>
    <w:rsid w:val="00AD1E88"/>
    <w:rsid w:val="00AD531F"/>
    <w:rsid w:val="00AD5D42"/>
    <w:rsid w:val="00AE43C0"/>
    <w:rsid w:val="00AE44AF"/>
    <w:rsid w:val="00B00D1A"/>
    <w:rsid w:val="00B01EA8"/>
    <w:rsid w:val="00B034A8"/>
    <w:rsid w:val="00B07A59"/>
    <w:rsid w:val="00B22E86"/>
    <w:rsid w:val="00B267AA"/>
    <w:rsid w:val="00B37968"/>
    <w:rsid w:val="00B40CEA"/>
    <w:rsid w:val="00B52D22"/>
    <w:rsid w:val="00B62227"/>
    <w:rsid w:val="00B74AB9"/>
    <w:rsid w:val="00B86E1F"/>
    <w:rsid w:val="00B872D0"/>
    <w:rsid w:val="00B93BC2"/>
    <w:rsid w:val="00B94DA7"/>
    <w:rsid w:val="00BA2E49"/>
    <w:rsid w:val="00BC1334"/>
    <w:rsid w:val="00BD2D22"/>
    <w:rsid w:val="00BD48B1"/>
    <w:rsid w:val="00BE11FB"/>
    <w:rsid w:val="00BE1981"/>
    <w:rsid w:val="00BE2BD4"/>
    <w:rsid w:val="00BF1A95"/>
    <w:rsid w:val="00BF2305"/>
    <w:rsid w:val="00BF2982"/>
    <w:rsid w:val="00BF36DA"/>
    <w:rsid w:val="00C04DB3"/>
    <w:rsid w:val="00C13C59"/>
    <w:rsid w:val="00C15C3F"/>
    <w:rsid w:val="00C22EEE"/>
    <w:rsid w:val="00C25591"/>
    <w:rsid w:val="00C269DC"/>
    <w:rsid w:val="00C4419F"/>
    <w:rsid w:val="00C46689"/>
    <w:rsid w:val="00C47346"/>
    <w:rsid w:val="00C5787C"/>
    <w:rsid w:val="00C7562C"/>
    <w:rsid w:val="00C97767"/>
    <w:rsid w:val="00CB51CE"/>
    <w:rsid w:val="00CB62F2"/>
    <w:rsid w:val="00CB7B46"/>
    <w:rsid w:val="00CC4418"/>
    <w:rsid w:val="00CC59C5"/>
    <w:rsid w:val="00CD2398"/>
    <w:rsid w:val="00CD2990"/>
    <w:rsid w:val="00CD6228"/>
    <w:rsid w:val="00CE03E1"/>
    <w:rsid w:val="00CF0B97"/>
    <w:rsid w:val="00D0619B"/>
    <w:rsid w:val="00D15BD8"/>
    <w:rsid w:val="00D26759"/>
    <w:rsid w:val="00D3381E"/>
    <w:rsid w:val="00D338D0"/>
    <w:rsid w:val="00D34454"/>
    <w:rsid w:val="00D41FA9"/>
    <w:rsid w:val="00D51F2C"/>
    <w:rsid w:val="00D531E6"/>
    <w:rsid w:val="00D61A37"/>
    <w:rsid w:val="00D62284"/>
    <w:rsid w:val="00D71D47"/>
    <w:rsid w:val="00D7506D"/>
    <w:rsid w:val="00D75F0B"/>
    <w:rsid w:val="00D87184"/>
    <w:rsid w:val="00D91B87"/>
    <w:rsid w:val="00D964BF"/>
    <w:rsid w:val="00D97469"/>
    <w:rsid w:val="00DA0EED"/>
    <w:rsid w:val="00DA10A3"/>
    <w:rsid w:val="00DA5F89"/>
    <w:rsid w:val="00DA71F3"/>
    <w:rsid w:val="00DB21B3"/>
    <w:rsid w:val="00DC2349"/>
    <w:rsid w:val="00DC3119"/>
    <w:rsid w:val="00DC3187"/>
    <w:rsid w:val="00DC45AB"/>
    <w:rsid w:val="00DC6848"/>
    <w:rsid w:val="00DC71B0"/>
    <w:rsid w:val="00DC7587"/>
    <w:rsid w:val="00DF1287"/>
    <w:rsid w:val="00DF2846"/>
    <w:rsid w:val="00E1300F"/>
    <w:rsid w:val="00E2060A"/>
    <w:rsid w:val="00E273FA"/>
    <w:rsid w:val="00E275AD"/>
    <w:rsid w:val="00E2762D"/>
    <w:rsid w:val="00E30232"/>
    <w:rsid w:val="00E32D42"/>
    <w:rsid w:val="00E355BF"/>
    <w:rsid w:val="00E41039"/>
    <w:rsid w:val="00E424A1"/>
    <w:rsid w:val="00E43C15"/>
    <w:rsid w:val="00E51005"/>
    <w:rsid w:val="00E5375D"/>
    <w:rsid w:val="00E56BFB"/>
    <w:rsid w:val="00E5716B"/>
    <w:rsid w:val="00E571D2"/>
    <w:rsid w:val="00E605B3"/>
    <w:rsid w:val="00E61508"/>
    <w:rsid w:val="00E719A4"/>
    <w:rsid w:val="00E71E31"/>
    <w:rsid w:val="00E7712E"/>
    <w:rsid w:val="00E87F9A"/>
    <w:rsid w:val="00EA0744"/>
    <w:rsid w:val="00EA23F1"/>
    <w:rsid w:val="00EA54A1"/>
    <w:rsid w:val="00EB047D"/>
    <w:rsid w:val="00EB20C4"/>
    <w:rsid w:val="00EB2A5A"/>
    <w:rsid w:val="00EC1E2B"/>
    <w:rsid w:val="00EC6D85"/>
    <w:rsid w:val="00EC7429"/>
    <w:rsid w:val="00ED02C3"/>
    <w:rsid w:val="00ED163E"/>
    <w:rsid w:val="00ED24FF"/>
    <w:rsid w:val="00ED271D"/>
    <w:rsid w:val="00EE3366"/>
    <w:rsid w:val="00EF00BC"/>
    <w:rsid w:val="00F05842"/>
    <w:rsid w:val="00F108A1"/>
    <w:rsid w:val="00F22807"/>
    <w:rsid w:val="00F360E2"/>
    <w:rsid w:val="00F40D0B"/>
    <w:rsid w:val="00F575E4"/>
    <w:rsid w:val="00F57C6F"/>
    <w:rsid w:val="00F6131F"/>
    <w:rsid w:val="00F66417"/>
    <w:rsid w:val="00F7030B"/>
    <w:rsid w:val="00F72250"/>
    <w:rsid w:val="00F829B5"/>
    <w:rsid w:val="00F870D2"/>
    <w:rsid w:val="00FB0C40"/>
    <w:rsid w:val="00FB1D9F"/>
    <w:rsid w:val="00FC53C3"/>
    <w:rsid w:val="00FD0366"/>
    <w:rsid w:val="00FD494C"/>
    <w:rsid w:val="00FE434E"/>
    <w:rsid w:val="00FE63BD"/>
    <w:rsid w:val="00FF2CE9"/>
    <w:rsid w:val="00FF6AB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aliases w:val="heading 1"/>
    <w:basedOn w:val="Normal"/>
    <w:next w:val="Normal"/>
    <w:link w:val="Cabealho1Carcter"/>
    <w:qFormat/>
    <w:rsid w:val="009D3158"/>
    <w:pPr>
      <w:keepNext/>
      <w:jc w:val="center"/>
      <w:outlineLvl w:val="0"/>
    </w:pPr>
    <w:rPr>
      <w:b/>
      <w:bCs/>
      <w:color w:val="000080"/>
      <w:sz w:val="18"/>
      <w:lang w:val="x-none" w:eastAsia="en-US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pPr>
      <w:spacing w:line="360" w:lineRule="atLeast"/>
      <w:jc w:val="both"/>
    </w:pPr>
    <w:rPr>
      <w:rFonts w:ascii="Tahoma" w:hAnsi="Tahoma" w:cs="Tahoma"/>
    </w:rPr>
  </w:style>
  <w:style w:type="paragraph" w:styleId="Avanodecorpodetexto">
    <w:name w:val="Body Text Indent"/>
    <w:basedOn w:val="Normal"/>
    <w:pPr>
      <w:spacing w:line="360" w:lineRule="atLeast"/>
      <w:ind w:firstLine="708"/>
      <w:jc w:val="both"/>
    </w:pPr>
    <w:rPr>
      <w:rFonts w:ascii="Tahoma" w:hAnsi="Tahoma" w:cs="Tahoma"/>
      <w:sz w:val="25"/>
    </w:rPr>
  </w:style>
  <w:style w:type="paragraph" w:styleId="Corpodetexto2">
    <w:name w:val="Body Text 2"/>
    <w:basedOn w:val="Normal"/>
    <w:pPr>
      <w:tabs>
        <w:tab w:val="left" w:pos="720"/>
        <w:tab w:val="left" w:pos="1080"/>
      </w:tabs>
      <w:spacing w:line="360" w:lineRule="atLeast"/>
      <w:jc w:val="both"/>
    </w:pPr>
    <w:rPr>
      <w:rFonts w:ascii="Tahoma" w:hAnsi="Tahoma" w:cs="Tahoma"/>
      <w:sz w:val="25"/>
    </w:r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1Carcter">
    <w:name w:val="Cabeçalho 1 Carácter"/>
    <w:link w:val="Ttulo1"/>
    <w:rsid w:val="009D3158"/>
    <w:rPr>
      <w:b/>
      <w:bCs/>
      <w:color w:val="000080"/>
      <w:sz w:val="18"/>
      <w:szCs w:val="24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rsid w:val="009D3158"/>
    <w:rPr>
      <w:sz w:val="20"/>
      <w:szCs w:val="20"/>
      <w:lang w:val="x-none" w:eastAsia="en-US"/>
    </w:rPr>
  </w:style>
  <w:style w:type="character" w:customStyle="1" w:styleId="TextodenotaderodapCarcter">
    <w:name w:val="Texto de nota de rodapé Carácter"/>
    <w:link w:val="Textodenotaderodap"/>
    <w:uiPriority w:val="99"/>
    <w:rsid w:val="009D3158"/>
    <w:rPr>
      <w:lang w:eastAsia="en-US"/>
    </w:rPr>
  </w:style>
  <w:style w:type="character" w:styleId="Refdenotaderodap">
    <w:name w:val="footnote reference"/>
    <w:uiPriority w:val="99"/>
    <w:rsid w:val="009D3158"/>
    <w:rPr>
      <w:vertAlign w:val="superscript"/>
    </w:rPr>
  </w:style>
  <w:style w:type="character" w:customStyle="1" w:styleId="RodapCarcter">
    <w:name w:val="Rodapé Carácter"/>
    <w:link w:val="Rodap"/>
    <w:uiPriority w:val="99"/>
    <w:rsid w:val="00297144"/>
    <w:rPr>
      <w:sz w:val="24"/>
      <w:szCs w:val="24"/>
    </w:rPr>
  </w:style>
  <w:style w:type="paragraph" w:styleId="Textodebalo">
    <w:name w:val="Balloon Text"/>
    <w:basedOn w:val="Normal"/>
    <w:link w:val="TextodebaloCarcter"/>
    <w:rsid w:val="00D7506D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rsid w:val="00D750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2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CD29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uiPriority w:val="99"/>
    <w:rsid w:val="00BF36DA"/>
    <w:rPr>
      <w:sz w:val="24"/>
      <w:szCs w:val="24"/>
    </w:rPr>
  </w:style>
  <w:style w:type="character" w:styleId="Forte">
    <w:name w:val="Strong"/>
    <w:uiPriority w:val="22"/>
    <w:qFormat/>
    <w:rsid w:val="00184900"/>
    <w:rPr>
      <w:b/>
      <w:bCs/>
    </w:rPr>
  </w:style>
  <w:style w:type="paragraph" w:styleId="NormalWeb">
    <w:name w:val="Normal (Web)"/>
    <w:basedOn w:val="Normal"/>
    <w:uiPriority w:val="99"/>
    <w:unhideWhenUsed/>
    <w:rsid w:val="00184900"/>
    <w:pPr>
      <w:spacing w:before="100" w:beforeAutospacing="1" w:after="100" w:afterAutospacing="1"/>
    </w:pPr>
  </w:style>
  <w:style w:type="paragraph" w:customStyle="1" w:styleId="Body1">
    <w:name w:val="Body 1"/>
    <w:rsid w:val="006A6E4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aliases w:val="heading 1"/>
    <w:basedOn w:val="Normal"/>
    <w:next w:val="Normal"/>
    <w:link w:val="Cabealho1Carcter"/>
    <w:qFormat/>
    <w:rsid w:val="009D3158"/>
    <w:pPr>
      <w:keepNext/>
      <w:jc w:val="center"/>
      <w:outlineLvl w:val="0"/>
    </w:pPr>
    <w:rPr>
      <w:b/>
      <w:bCs/>
      <w:color w:val="000080"/>
      <w:sz w:val="18"/>
      <w:lang w:val="x-none" w:eastAsia="en-US"/>
    </w:r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Corpodetexto">
    <w:name w:val="Body Text"/>
    <w:basedOn w:val="Normal"/>
    <w:pPr>
      <w:spacing w:line="360" w:lineRule="atLeast"/>
      <w:jc w:val="both"/>
    </w:pPr>
    <w:rPr>
      <w:rFonts w:ascii="Tahoma" w:hAnsi="Tahoma" w:cs="Tahoma"/>
    </w:rPr>
  </w:style>
  <w:style w:type="paragraph" w:styleId="Avanodecorpodetexto">
    <w:name w:val="Body Text Indent"/>
    <w:basedOn w:val="Normal"/>
    <w:pPr>
      <w:spacing w:line="360" w:lineRule="atLeast"/>
      <w:ind w:firstLine="708"/>
      <w:jc w:val="both"/>
    </w:pPr>
    <w:rPr>
      <w:rFonts w:ascii="Tahoma" w:hAnsi="Tahoma" w:cs="Tahoma"/>
      <w:sz w:val="25"/>
    </w:rPr>
  </w:style>
  <w:style w:type="paragraph" w:styleId="Corpodetexto2">
    <w:name w:val="Body Text 2"/>
    <w:basedOn w:val="Normal"/>
    <w:pPr>
      <w:tabs>
        <w:tab w:val="left" w:pos="720"/>
        <w:tab w:val="left" w:pos="1080"/>
      </w:tabs>
      <w:spacing w:line="360" w:lineRule="atLeast"/>
      <w:jc w:val="both"/>
    </w:pPr>
    <w:rPr>
      <w:rFonts w:ascii="Tahoma" w:hAnsi="Tahoma" w:cs="Tahoma"/>
      <w:sz w:val="25"/>
    </w:r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link w:val="CabealhoCarcte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1Carcter">
    <w:name w:val="Cabeçalho 1 Carácter"/>
    <w:link w:val="Ttulo1"/>
    <w:rsid w:val="009D3158"/>
    <w:rPr>
      <w:b/>
      <w:bCs/>
      <w:color w:val="000080"/>
      <w:sz w:val="18"/>
      <w:szCs w:val="24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rsid w:val="009D3158"/>
    <w:rPr>
      <w:sz w:val="20"/>
      <w:szCs w:val="20"/>
      <w:lang w:val="x-none" w:eastAsia="en-US"/>
    </w:rPr>
  </w:style>
  <w:style w:type="character" w:customStyle="1" w:styleId="TextodenotaderodapCarcter">
    <w:name w:val="Texto de nota de rodapé Carácter"/>
    <w:link w:val="Textodenotaderodap"/>
    <w:uiPriority w:val="99"/>
    <w:rsid w:val="009D3158"/>
    <w:rPr>
      <w:lang w:eastAsia="en-US"/>
    </w:rPr>
  </w:style>
  <w:style w:type="character" w:styleId="Refdenotaderodap">
    <w:name w:val="footnote reference"/>
    <w:uiPriority w:val="99"/>
    <w:rsid w:val="009D3158"/>
    <w:rPr>
      <w:vertAlign w:val="superscript"/>
    </w:rPr>
  </w:style>
  <w:style w:type="character" w:customStyle="1" w:styleId="RodapCarcter">
    <w:name w:val="Rodapé Carácter"/>
    <w:link w:val="Rodap"/>
    <w:uiPriority w:val="99"/>
    <w:rsid w:val="00297144"/>
    <w:rPr>
      <w:sz w:val="24"/>
      <w:szCs w:val="24"/>
    </w:rPr>
  </w:style>
  <w:style w:type="paragraph" w:styleId="Textodebalo">
    <w:name w:val="Balloon Text"/>
    <w:basedOn w:val="Normal"/>
    <w:link w:val="TextodebaloCarcter"/>
    <w:rsid w:val="00D7506D"/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rsid w:val="00D750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29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CD29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uiPriority w:val="99"/>
    <w:rsid w:val="00BF36DA"/>
    <w:rPr>
      <w:sz w:val="24"/>
      <w:szCs w:val="24"/>
    </w:rPr>
  </w:style>
  <w:style w:type="character" w:styleId="Forte">
    <w:name w:val="Strong"/>
    <w:uiPriority w:val="22"/>
    <w:qFormat/>
    <w:rsid w:val="00184900"/>
    <w:rPr>
      <w:b/>
      <w:bCs/>
    </w:rPr>
  </w:style>
  <w:style w:type="paragraph" w:styleId="NormalWeb">
    <w:name w:val="Normal (Web)"/>
    <w:basedOn w:val="Normal"/>
    <w:uiPriority w:val="99"/>
    <w:unhideWhenUsed/>
    <w:rsid w:val="00184900"/>
    <w:pPr>
      <w:spacing w:before="100" w:beforeAutospacing="1" w:after="100" w:afterAutospacing="1"/>
    </w:pPr>
  </w:style>
  <w:style w:type="paragraph" w:customStyle="1" w:styleId="Body1">
    <w:name w:val="Body 1"/>
    <w:rsid w:val="006A6E46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EBE1030A9CA4E82D07ECEAC5186F3" ma:contentTypeVersion="2" ma:contentTypeDescription="Criar um novo documento." ma:contentTypeScope="" ma:versionID="901ea26348d8f6c187bec9278393ab3d">
  <xsd:schema xmlns:xsd="http://www.w3.org/2001/XMLSchema" xmlns:xs="http://www.w3.org/2001/XMLSchema" xmlns:p="http://schemas.microsoft.com/office/2006/metadata/properties" xmlns:ns1="http://schemas.microsoft.com/sharepoint/v3" xmlns:ns2="969ffe39-64f2-4a22-b3ee-4d24824f8743" targetNamespace="http://schemas.microsoft.com/office/2006/metadata/properties" ma:root="true" ma:fieldsID="c7e915c7eb41779f1cd05a042c6072f1" ns1:_="" ns2:_="">
    <xsd:import namespace="http://schemas.microsoft.com/sharepoint/v3"/>
    <xsd:import namespace="969ffe39-64f2-4a22-b3ee-4d24824f87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ffe39-64f2-4a22-b3ee-4d24824f8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CB66AA-CD8F-4797-ABBC-26669689C609}"/>
</file>

<file path=customXml/itemProps2.xml><?xml version="1.0" encoding="utf-8"?>
<ds:datastoreItem xmlns:ds="http://schemas.openxmlformats.org/officeDocument/2006/customXml" ds:itemID="{900CFC1B-D60E-4F58-80AD-24FF0EB9BB22}"/>
</file>

<file path=customXml/itemProps3.xml><?xml version="1.0" encoding="utf-8"?>
<ds:datastoreItem xmlns:ds="http://schemas.openxmlformats.org/officeDocument/2006/customXml" ds:itemID="{DBD7CF3B-4722-47C7-94EF-B200DBEA9772}"/>
</file>

<file path=customXml/itemProps4.xml><?xml version="1.0" encoding="utf-8"?>
<ds:datastoreItem xmlns:ds="http://schemas.openxmlformats.org/officeDocument/2006/customXml" ds:itemID="{0532FF94-9B76-4F93-BA2A-B86EC5A16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2042</Words>
  <Characters>11031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09/CEMGFA/03</vt:lpstr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09/CEMGFA/03</dc:title>
  <dc:creator>ALMartins</dc:creator>
  <cp:lastModifiedBy>Luís Neto</cp:lastModifiedBy>
  <cp:revision>2</cp:revision>
  <cp:lastPrinted>2016-02-01T11:54:00Z</cp:lastPrinted>
  <dcterms:created xsi:type="dcterms:W3CDTF">2016-02-01T19:40:00Z</dcterms:created>
  <dcterms:modified xsi:type="dcterms:W3CDTF">2016-02-01T19:40:00Z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0x0101005F0EBE1030A9CA4E82D07ECEAC5186F3</vt:lpwstr>
  </property>
</Properties>
</file>